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Discussion</w:t>
      </w: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Verizon is pulling advertising from Facebook and Instagram is one of the current issues in the United States. The issue the company pulled from the advertisements is that it wants Facebook to create an acceptable solution that makes everyone comfortable. Verizon wants Facebook to make decisions that are based on principles rather than business interests and this will make the company more profitable. One of the most significant laws that controls advertising in the United States is the federal trade commission that encompasses false advertisements and controls any illegal advertisement from the state and federal levels. T</w:t>
      </w:r>
      <w:r>
        <w:rPr>
          <w:rFonts w:ascii="Times New Roman" w:hAnsi="Times New Roman" w:cs="Times New Roman" w:eastAsia="Times New Roman"/>
          <w:color w:val="000000"/>
          <w:spacing w:val="0"/>
          <w:position w:val="0"/>
          <w:sz w:val="24"/>
          <w:shd w:fill="auto" w:val="clear"/>
        </w:rPr>
        <w:t xml:space="preserve">he main goal of communicating to the target groups is providing the stakeholders with legitimate messages that are useful for marketing and also advertising.  Also, these are essential ways for increasing the desire in sales while at the same time achieving improved image and credibility of the company. The messages would also be aimed at changing the beliefs and perceptions of the clients so as to provide them with sufficient information that can be helpful to them in the future (Putlman, 2020).</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Freedom of press plays a vital role in a democratic societies, the united states custitution states that Congress shall make no law respecting an establishment of religion or prohibiting the free exercise thereof or abridging the freedom of speech or of the press.in this case Facebook and Instagram has the freedom to publish anything but its subjected to certain restrictions such as defamation law and no one is free to publish false stuff that will harm another persons reputation.this was applied in resolving the case.(Epps 2008).</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000000"/>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Putnam, L. L. (2020). </w:t>
      </w:r>
      <w:r>
        <w:rPr>
          <w:rFonts w:ascii="Times New Roman" w:hAnsi="Times New Roman" w:cs="Times New Roman" w:eastAsia="Times New Roman"/>
          <w:i/>
          <w:color w:val="000000"/>
          <w:spacing w:val="0"/>
          <w:position w:val="0"/>
          <w:sz w:val="24"/>
          <w:shd w:fill="auto" w:val="clear"/>
        </w:rPr>
        <w:t xml:space="preserve">The new handbook of organizational communication: Advances in theory, research, and methods</w:t>
      </w:r>
      <w:r>
        <w:rPr>
          <w:rFonts w:ascii="Times New Roman" w:hAnsi="Times New Roman" w:cs="Times New Roman" w:eastAsia="Times New Roman"/>
          <w:color w:val="000000"/>
          <w:spacing w:val="0"/>
          <w:position w:val="0"/>
          <w:sz w:val="24"/>
          <w:shd w:fill="auto" w:val="clear"/>
        </w:rPr>
        <w:t xml:space="preserve">. Thousand Oaks, Calif: Sage Publishers.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Epps, G. (2008). The First Amendment, freedom of the press: Its constitutional history and the contemporary debate. Amherst, N.Y: Prometheus Books.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